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F4" w:rsidRPr="00BA3B83" w:rsidRDefault="00BD30F4" w:rsidP="00BD30F4">
      <w:pPr>
        <w:spacing w:after="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1835"/>
        <w:gridCol w:w="2770"/>
      </w:tblGrid>
      <w:tr w:rsidR="00BD30F4" w:rsidRPr="00BA3B83" w:rsidTr="00823B76">
        <w:trPr>
          <w:tblCellSpacing w:w="15" w:type="dxa"/>
        </w:trPr>
        <w:tc>
          <w:tcPr>
            <w:tcW w:w="0" w:type="auto"/>
            <w:shd w:val="clear" w:color="auto" w:fill="990000"/>
            <w:vAlign w:val="center"/>
            <w:hideMark/>
          </w:tcPr>
          <w:p w:rsidR="00BD30F4" w:rsidRPr="00BA3B83" w:rsidRDefault="00BD30F4" w:rsidP="00BD30F4">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Vaccin rabique  </w:t>
            </w:r>
            <w:r>
              <w:rPr>
                <w:rFonts w:ascii="Times New Roman" w:eastAsia="Times New Roman" w:hAnsi="Times New Roman" w:cs="Times New Roman"/>
                <w:color w:val="000000"/>
                <w:sz w:val="24"/>
                <w:szCs w:val="24"/>
                <w:lang w:eastAsia="fr-FR"/>
              </w:rPr>
              <w:t xml:space="preserve"> 1</w:t>
            </w:r>
          </w:p>
        </w:tc>
        <w:tc>
          <w:tcPr>
            <w:tcW w:w="0" w:type="auto"/>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Verdana" w:eastAsia="Times New Roman" w:hAnsi="Verdana" w:cs="Times New Roman"/>
                <w:b/>
                <w:bCs/>
                <w:color w:val="990000"/>
                <w:sz w:val="24"/>
                <w:szCs w:val="24"/>
                <w:lang w:eastAsia="fr-FR"/>
              </w:rPr>
              <w:t>INDICATIONS</w:t>
            </w:r>
            <w:r w:rsidRPr="00BA3B83">
              <w:rPr>
                <w:rFonts w:ascii="Times New Roman" w:eastAsia="Times New Roman" w:hAnsi="Times New Roman" w:cs="Times New Roman"/>
                <w:color w:val="000000"/>
                <w:sz w:val="24"/>
                <w:szCs w:val="24"/>
                <w:lang w:eastAsia="fr-FR"/>
              </w:rPr>
              <w:t> </w:t>
            </w:r>
            <w:hyperlink w:anchor="pub" w:history="1">
              <w:r w:rsidRPr="00BA3B83">
                <w:rPr>
                  <w:rFonts w:ascii="Arial" w:eastAsia="Times New Roman" w:hAnsi="Arial" w:cs="Arial"/>
                  <w:color w:val="990000"/>
                  <w:sz w:val="20"/>
                  <w:u w:val="single"/>
                  <w:vertAlign w:val="superscript"/>
                  <w:lang w:eastAsia="fr-FR"/>
                </w:rPr>
                <w:t>(début page)</w:t>
              </w:r>
            </w:hyperlink>
            <w:r w:rsidRPr="00BA3B83">
              <w:rPr>
                <w:rFonts w:ascii="Times New Roman" w:eastAsia="Times New Roman" w:hAnsi="Times New Roman" w:cs="Times New Roman"/>
                <w:color w:val="000000"/>
                <w:sz w:val="24"/>
                <w:szCs w:val="24"/>
                <w:lang w:eastAsia="fr-FR"/>
              </w:rPr>
              <w:t xml:space="preserve"> </w:t>
            </w:r>
          </w:p>
        </w:tc>
      </w:tr>
    </w:tbl>
    <w:p w:rsidR="00BD30F4" w:rsidRPr="00BA3B83" w:rsidRDefault="00BD30F4" w:rsidP="00BD30F4">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Vaccin rabique  est indiqué dans la prévention de la rage chez l'enfant et l'adulte. Il peut être utilisé avant et après exposition, en </w:t>
      </w:r>
      <w:proofErr w:type="spellStart"/>
      <w:r w:rsidRPr="00BA3B83">
        <w:rPr>
          <w:rFonts w:ascii="Times New Roman" w:eastAsia="Times New Roman" w:hAnsi="Times New Roman" w:cs="Times New Roman"/>
          <w:color w:val="000000"/>
          <w:sz w:val="24"/>
          <w:szCs w:val="24"/>
          <w:lang w:eastAsia="fr-FR"/>
        </w:rPr>
        <w:t>primovaccination</w:t>
      </w:r>
      <w:proofErr w:type="spellEnd"/>
      <w:r w:rsidRPr="00BA3B83">
        <w:rPr>
          <w:rFonts w:ascii="Times New Roman" w:eastAsia="Times New Roman" w:hAnsi="Times New Roman" w:cs="Times New Roman"/>
          <w:color w:val="000000"/>
          <w:sz w:val="24"/>
          <w:szCs w:val="24"/>
          <w:lang w:eastAsia="fr-FR"/>
        </w:rPr>
        <w:t xml:space="preserve"> ou en rappel.</w:t>
      </w:r>
    </w:p>
    <w:p w:rsidR="00BD30F4" w:rsidRPr="00BA3B83" w:rsidRDefault="00BD30F4" w:rsidP="00BD30F4">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i/>
          <w:iCs/>
          <w:color w:val="000000"/>
          <w:sz w:val="24"/>
          <w:szCs w:val="24"/>
          <w:lang w:eastAsia="fr-FR"/>
        </w:rPr>
        <w:t xml:space="preserve">Prévention de la rage avant exposition (vaccination en pré-exposition) : </w:t>
      </w:r>
    </w:p>
    <w:p w:rsidR="00BD30F4" w:rsidRPr="00BA3B83" w:rsidRDefault="00BD30F4" w:rsidP="00BD30F4">
      <w:pPr>
        <w:spacing w:after="0" w:line="240" w:lineRule="auto"/>
        <w:ind w:left="720"/>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La vaccination avant exposition doit être proposée chez les sujets ayant un risque élevé de contamination par le virus de la rage. </w:t>
      </w:r>
    </w:p>
    <w:p w:rsidR="00BD30F4" w:rsidRPr="00BA3B83" w:rsidRDefault="00BD30F4" w:rsidP="00BD30F4">
      <w:pPr>
        <w:spacing w:after="0" w:line="240" w:lineRule="auto"/>
        <w:ind w:left="720"/>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Toute personne à risque permanent, telle que le personnel de laboratoire de diagnostic, de recherche ou de production qui travaille sur le virus rabique, doit être vaccinée. Un contrôle sérologique est recommandé tous les 6 mois (</w:t>
      </w:r>
      <w:proofErr w:type="spellStart"/>
      <w:r w:rsidRPr="00BA3B83">
        <w:rPr>
          <w:rFonts w:ascii="Times New Roman" w:eastAsia="Times New Roman" w:hAnsi="Times New Roman" w:cs="Times New Roman"/>
          <w:color w:val="000000"/>
          <w:sz w:val="24"/>
          <w:szCs w:val="24"/>
          <w:lang w:eastAsia="fr-FR"/>
        </w:rPr>
        <w:t>cf</w:t>
      </w:r>
      <w:proofErr w:type="spellEnd"/>
      <w:r w:rsidRPr="00BA3B83">
        <w:rPr>
          <w:rFonts w:ascii="Times New Roman" w:eastAsia="Times New Roman" w:hAnsi="Times New Roman" w:cs="Times New Roman"/>
          <w:color w:val="000000"/>
          <w:sz w:val="24"/>
          <w:szCs w:val="24"/>
          <w:lang w:eastAsia="fr-FR"/>
        </w:rPr>
        <w:t xml:space="preserve"> Mises en garde et Précautions d'emploi). </w:t>
      </w:r>
    </w:p>
    <w:p w:rsidR="00BD30F4" w:rsidRPr="00BA3B83" w:rsidRDefault="00BD30F4" w:rsidP="00BD30F4">
      <w:pPr>
        <w:spacing w:after="0" w:line="240" w:lineRule="auto"/>
        <w:ind w:left="720"/>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La vaccination avant exposition doit également être envisagée chez les sujets à risque d'exposition fréquent au virus de la rage : </w:t>
      </w:r>
    </w:p>
    <w:p w:rsidR="00BD30F4" w:rsidRPr="00BA3B83" w:rsidRDefault="00BD30F4" w:rsidP="00BD30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Les vétérinaires et leurs assistants, les animaliers.</w:t>
      </w:r>
    </w:p>
    <w:p w:rsidR="00BD30F4" w:rsidRPr="00BA3B83" w:rsidRDefault="00BD30F4" w:rsidP="00BD30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Les personnes en contact par leurs activités professionnelles ou de loisir, avec des espèces telles que le chien, le chat, la moufette, le raton laveur, la chauve-souris ou d'autres espèces susceptibles d'avoir la rage. A titre d'exemple : gardes-chasse, chasseurs, travailleurs forestiers, spéléologues et taxidermistes.</w:t>
      </w:r>
    </w:p>
    <w:p w:rsidR="00BD30F4" w:rsidRPr="00BA3B83" w:rsidRDefault="00BD30F4" w:rsidP="00BD30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Les adultes et les enfants résidant ou séjournant dans les zones d'enzootie.</w:t>
      </w:r>
    </w:p>
    <w:p w:rsidR="00BD30F4" w:rsidRPr="00BA3B83" w:rsidRDefault="00BD30F4" w:rsidP="00BD30F4">
      <w:pPr>
        <w:spacing w:after="0" w:line="240" w:lineRule="auto"/>
        <w:ind w:left="720"/>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Un contrôle sérologique peut être effectué tous les 2 à 3 ans pour les sujets soumis à une exposition discontinue. </w:t>
      </w:r>
    </w:p>
    <w:p w:rsidR="00BD30F4" w:rsidRPr="00BA3B83" w:rsidRDefault="00BD30F4" w:rsidP="00BD30F4">
      <w:pPr>
        <w:spacing w:after="0" w:line="240" w:lineRule="auto"/>
        <w:ind w:left="720"/>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Dans les zones de faible enzootie rabique, les vétérinaires et assistants (y compris les étudiants), les animaliers et le personnel des réserves naturelles (les gardes-chasse) sont considérés comme soumis à un risque occasionnel d'exposition et doivent recevoir une </w:t>
      </w:r>
      <w:proofErr w:type="spellStart"/>
      <w:r w:rsidRPr="00BA3B83">
        <w:rPr>
          <w:rFonts w:ascii="Times New Roman" w:eastAsia="Times New Roman" w:hAnsi="Times New Roman" w:cs="Times New Roman"/>
          <w:color w:val="000000"/>
          <w:sz w:val="24"/>
          <w:szCs w:val="24"/>
          <w:lang w:eastAsia="fr-FR"/>
        </w:rPr>
        <w:t>primovaccination</w:t>
      </w:r>
      <w:proofErr w:type="spellEnd"/>
      <w:r w:rsidRPr="00BA3B83">
        <w:rPr>
          <w:rFonts w:ascii="Times New Roman" w:eastAsia="Times New Roman" w:hAnsi="Times New Roman" w:cs="Times New Roman"/>
          <w:color w:val="000000"/>
          <w:sz w:val="24"/>
          <w:szCs w:val="24"/>
          <w:lang w:eastAsia="fr-FR"/>
        </w:rPr>
        <w:t xml:space="preserve"> rabique. </w:t>
      </w:r>
    </w:p>
    <w:p w:rsidR="00BD30F4" w:rsidRPr="00BA3B83" w:rsidRDefault="00BD30F4" w:rsidP="00BD30F4">
      <w:pPr>
        <w:spacing w:after="0" w:line="240" w:lineRule="auto"/>
        <w:ind w:left="720"/>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Des contrôles sérologiques des anticorps rabiques doivent être réalisés à intervalles réguliers en fonction du risque présenté par chaque sujet. </w:t>
      </w:r>
    </w:p>
    <w:p w:rsidR="00BD30F4" w:rsidRPr="00BA3B83" w:rsidRDefault="00BD30F4" w:rsidP="00BD30F4">
      <w:pPr>
        <w:spacing w:after="0" w:line="240" w:lineRule="auto"/>
        <w:ind w:left="720"/>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Les injections de rappel systématique seront administrées en fonction du risque du sujet. La fréquence d'administration des injections de rappel est décrite dans la rubrique Posologie/Mode d'administration. </w:t>
      </w:r>
    </w:p>
    <w:p w:rsidR="00BD30F4" w:rsidRPr="00BA3B83" w:rsidRDefault="00BD30F4" w:rsidP="00BD30F4">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i/>
          <w:iCs/>
          <w:color w:val="000000"/>
          <w:sz w:val="24"/>
          <w:szCs w:val="24"/>
          <w:lang w:eastAsia="fr-FR"/>
        </w:rPr>
        <w:t>Prévention de la rage après exposition (vaccination en post-exposition) :</w:t>
      </w:r>
      <w:r w:rsidRPr="00BA3B83">
        <w:rPr>
          <w:rFonts w:ascii="Times New Roman" w:eastAsia="Times New Roman" w:hAnsi="Times New Roman" w:cs="Times New Roman"/>
          <w:color w:val="000000"/>
          <w:sz w:val="24"/>
          <w:szCs w:val="24"/>
          <w:lang w:eastAsia="fr-FR"/>
        </w:rPr>
        <w:t xml:space="preserve"> </w:t>
      </w:r>
    </w:p>
    <w:p w:rsidR="00BD30F4" w:rsidRPr="00BA3B83" w:rsidRDefault="00BD30F4" w:rsidP="00BD30F4">
      <w:pPr>
        <w:spacing w:after="0" w:line="240" w:lineRule="auto"/>
        <w:ind w:left="720"/>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Au moindre risque de contamination rabique, la vaccination post-exposition doit être réalisée aussitôt que possible. </w:t>
      </w:r>
    </w:p>
    <w:p w:rsidR="00BD30F4" w:rsidRPr="00BA3B83" w:rsidRDefault="00BD30F4" w:rsidP="00BD30F4">
      <w:pPr>
        <w:spacing w:after="0" w:line="240" w:lineRule="auto"/>
        <w:ind w:left="720"/>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Dans certains pays, la vaccination doit être effectuée dans un centre antirabique spécialisé. </w:t>
      </w:r>
    </w:p>
    <w:p w:rsidR="00BD30F4" w:rsidRPr="00BA3B83" w:rsidRDefault="00BD30F4" w:rsidP="00BD30F4">
      <w:pPr>
        <w:spacing w:after="0" w:line="240" w:lineRule="auto"/>
        <w:ind w:left="720"/>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Le traitement après exposition comprend le traitement local non spécifique de la blessure, une immunisation passive par les immunoglobulines rabiques (IGR) et la vaccination en fonction de la nature de la blessure et de l'état de l'animal (</w:t>
      </w:r>
      <w:proofErr w:type="spellStart"/>
      <w:r w:rsidRPr="00BA3B83">
        <w:rPr>
          <w:rFonts w:ascii="Times New Roman" w:eastAsia="Times New Roman" w:hAnsi="Times New Roman" w:cs="Times New Roman"/>
          <w:color w:val="000000"/>
          <w:sz w:val="24"/>
          <w:szCs w:val="24"/>
          <w:lang w:eastAsia="fr-FR"/>
        </w:rPr>
        <w:t>cf</w:t>
      </w:r>
      <w:proofErr w:type="spellEnd"/>
      <w:r w:rsidRPr="00BA3B83">
        <w:rPr>
          <w:rFonts w:ascii="Times New Roman" w:eastAsia="Times New Roman" w:hAnsi="Times New Roman" w:cs="Times New Roman"/>
          <w:color w:val="000000"/>
          <w:sz w:val="24"/>
          <w:szCs w:val="24"/>
          <w:lang w:eastAsia="fr-FR"/>
        </w:rPr>
        <w:t xml:space="preserve"> tableaux 1 et 2).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44"/>
        <w:gridCol w:w="2103"/>
        <w:gridCol w:w="1808"/>
        <w:gridCol w:w="3047"/>
      </w:tblGrid>
      <w:tr w:rsidR="00BD30F4" w:rsidRPr="00BA3B83" w:rsidTr="00823B76">
        <w:trPr>
          <w:tblCellSpacing w:w="7" w:type="dxa"/>
        </w:trPr>
        <w:tc>
          <w:tcPr>
            <w:tcW w:w="0" w:type="auto"/>
            <w:gridSpan w:val="4"/>
            <w:tcBorders>
              <w:top w:val="nil"/>
              <w:left w:val="nil"/>
              <w:bottom w:val="nil"/>
              <w:right w:val="nil"/>
            </w:tcBorders>
            <w:vAlign w:val="center"/>
            <w:hideMark/>
          </w:tcPr>
          <w:p w:rsidR="00BD30F4" w:rsidRPr="00BA3B83" w:rsidRDefault="00BD30F4" w:rsidP="00823B76">
            <w:pPr>
              <w:spacing w:after="0" w:line="240" w:lineRule="auto"/>
              <w:jc w:val="center"/>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Tableau 1 : </w:t>
            </w:r>
          </w:p>
        </w:tc>
      </w:tr>
      <w:tr w:rsidR="00BD30F4" w:rsidRPr="00BA3B83" w:rsidTr="00823B76">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jc w:val="center"/>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Conduite à tenir en fonction de l'état de l'animal </w:t>
            </w:r>
          </w:p>
        </w:tc>
      </w:tr>
      <w:tr w:rsidR="00BD30F4" w:rsidRPr="00BA3B83" w:rsidTr="00823B7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jc w:val="center"/>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Circonstances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jc w:val="center"/>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Mesures à prendre concernant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jc w:val="center"/>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Remarques </w:t>
            </w:r>
          </w:p>
        </w:tc>
      </w:tr>
      <w:tr w:rsidR="00BD30F4" w:rsidRPr="00BA3B83" w:rsidTr="00823B7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jc w:val="center"/>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l'animal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jc w:val="center"/>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le patient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p>
        </w:tc>
      </w:tr>
      <w:tr w:rsidR="00BD30F4" w:rsidRPr="00BA3B8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i/>
                <w:iCs/>
                <w:color w:val="000000"/>
                <w:sz w:val="24"/>
                <w:szCs w:val="24"/>
                <w:lang w:eastAsia="fr-FR"/>
              </w:rPr>
              <w:t>Animal indisponible :</w:t>
            </w:r>
            <w:r w:rsidRPr="00BA3B8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      </w:t>
            </w:r>
          </w:p>
        </w:tc>
      </w:tr>
      <w:tr w:rsidR="00BD30F4" w:rsidRPr="00BA3B8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Circonstances </w:t>
            </w:r>
            <w:r w:rsidRPr="00BA3B83">
              <w:rPr>
                <w:rFonts w:ascii="Times New Roman" w:eastAsia="Times New Roman" w:hAnsi="Times New Roman" w:cs="Times New Roman"/>
                <w:color w:val="000000"/>
                <w:sz w:val="24"/>
                <w:szCs w:val="24"/>
                <w:lang w:eastAsia="fr-FR"/>
              </w:rPr>
              <w:lastRenderedPageBreak/>
              <w:t xml:space="preserve">suspectes ou non </w:t>
            </w:r>
          </w:p>
        </w:tc>
        <w:tc>
          <w:tcPr>
            <w:tcW w:w="0" w:type="auto"/>
            <w:tcBorders>
              <w:top w:val="outset" w:sz="6" w:space="0" w:color="auto"/>
              <w:left w:val="outset" w:sz="6" w:space="0" w:color="auto"/>
              <w:bottom w:val="outset" w:sz="6" w:space="0" w:color="auto"/>
              <w:right w:val="outset" w:sz="6" w:space="0" w:color="auto"/>
            </w:tcBorders>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Le conduire au </w:t>
            </w:r>
            <w:r w:rsidRPr="00BA3B83">
              <w:rPr>
                <w:rFonts w:ascii="Times New Roman" w:eastAsia="Times New Roman" w:hAnsi="Times New Roman" w:cs="Times New Roman"/>
                <w:color w:val="000000"/>
                <w:sz w:val="24"/>
                <w:szCs w:val="24"/>
                <w:lang w:eastAsia="fr-FR"/>
              </w:rPr>
              <w:lastRenderedPageBreak/>
              <w:t xml:space="preserve">centre antirabique pour traitement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lastRenderedPageBreak/>
              <w:t>Le traitement</w:t>
            </w:r>
            <w:r w:rsidRPr="00BA3B83">
              <w:rPr>
                <w:rFonts w:ascii="Times New Roman" w:eastAsia="Times New Roman" w:hAnsi="Times New Roman" w:cs="Times New Roman"/>
                <w:color w:val="000000"/>
                <w:sz w:val="24"/>
                <w:szCs w:val="24"/>
                <w:vertAlign w:val="superscript"/>
                <w:lang w:eastAsia="fr-FR"/>
              </w:rPr>
              <w:t>**</w:t>
            </w:r>
            <w:r w:rsidRPr="00BA3B83">
              <w:rPr>
                <w:rFonts w:ascii="Times New Roman" w:eastAsia="Times New Roman" w:hAnsi="Times New Roman" w:cs="Times New Roman"/>
                <w:color w:val="000000"/>
                <w:sz w:val="24"/>
                <w:szCs w:val="24"/>
                <w:lang w:eastAsia="fr-FR"/>
              </w:rPr>
              <w:t xml:space="preserve"> sera toujours </w:t>
            </w:r>
            <w:r w:rsidRPr="00BA3B83">
              <w:rPr>
                <w:rFonts w:ascii="Times New Roman" w:eastAsia="Times New Roman" w:hAnsi="Times New Roman" w:cs="Times New Roman"/>
                <w:color w:val="000000"/>
                <w:sz w:val="24"/>
                <w:szCs w:val="24"/>
                <w:lang w:eastAsia="fr-FR"/>
              </w:rPr>
              <w:lastRenderedPageBreak/>
              <w:t xml:space="preserve">mené jusqu'à son terme </w:t>
            </w:r>
          </w:p>
        </w:tc>
      </w:tr>
      <w:tr w:rsidR="00BD30F4" w:rsidRPr="00BA3B8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i/>
                <w:iCs/>
                <w:color w:val="000000"/>
                <w:sz w:val="24"/>
                <w:szCs w:val="24"/>
                <w:lang w:eastAsia="fr-FR"/>
              </w:rPr>
              <w:lastRenderedPageBreak/>
              <w:t>Animal mort :</w:t>
            </w:r>
            <w:r w:rsidRPr="00BA3B8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      </w:t>
            </w:r>
          </w:p>
        </w:tc>
      </w:tr>
      <w:tr w:rsidR="00BD30F4" w:rsidRPr="00BA3B8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Circonstances suspectes ou non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Faire acheminer l'encéphale à un laboratoire agréé pour analyse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Le conduire au centre antirabique pour traitement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Le traitement</w:t>
            </w:r>
            <w:r w:rsidRPr="00BA3B83">
              <w:rPr>
                <w:rFonts w:ascii="Times New Roman" w:eastAsia="Times New Roman" w:hAnsi="Times New Roman" w:cs="Times New Roman"/>
                <w:color w:val="000000"/>
                <w:sz w:val="24"/>
                <w:szCs w:val="24"/>
                <w:vertAlign w:val="superscript"/>
                <w:lang w:eastAsia="fr-FR"/>
              </w:rPr>
              <w:t>**</w:t>
            </w:r>
            <w:r w:rsidRPr="00BA3B83">
              <w:rPr>
                <w:rFonts w:ascii="Times New Roman" w:eastAsia="Times New Roman" w:hAnsi="Times New Roman" w:cs="Times New Roman"/>
                <w:color w:val="000000"/>
                <w:sz w:val="24"/>
                <w:szCs w:val="24"/>
                <w:lang w:eastAsia="fr-FR"/>
              </w:rPr>
              <w:t xml:space="preserve"> sera interrompu si les analyses sont négatives ou poursuivi dans le cas contraire </w:t>
            </w:r>
          </w:p>
        </w:tc>
      </w:tr>
      <w:tr w:rsidR="00BD30F4" w:rsidRPr="00BA3B83" w:rsidTr="00823B7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i/>
                <w:iCs/>
                <w:color w:val="000000"/>
                <w:sz w:val="24"/>
                <w:szCs w:val="24"/>
                <w:lang w:eastAsia="fr-FR"/>
              </w:rPr>
              <w:t>Animal vivant :</w:t>
            </w:r>
            <w:r w:rsidRPr="00BA3B8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      </w:t>
            </w:r>
          </w:p>
        </w:tc>
      </w:tr>
      <w:tr w:rsidR="00BD30F4" w:rsidRPr="00BA3B8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Circonstances non suspectes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Le mettre sous surveillance vétérinaire</w:t>
            </w:r>
            <w:r w:rsidRPr="00BA3B83">
              <w:rPr>
                <w:rFonts w:ascii="Times New Roman" w:eastAsia="Times New Roman" w:hAnsi="Times New Roman" w:cs="Times New Roman"/>
                <w:color w:val="000000"/>
                <w:sz w:val="24"/>
                <w:szCs w:val="24"/>
                <w:vertAlign w:val="superscript"/>
                <w:lang w:eastAsia="fr-FR"/>
              </w:rPr>
              <w:t>*</w:t>
            </w:r>
            <w:r w:rsidRPr="00BA3B8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Différer le traitement antirabique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Le traitement</w:t>
            </w:r>
            <w:r w:rsidRPr="00BA3B83">
              <w:rPr>
                <w:rFonts w:ascii="Times New Roman" w:eastAsia="Times New Roman" w:hAnsi="Times New Roman" w:cs="Times New Roman"/>
                <w:color w:val="000000"/>
                <w:sz w:val="24"/>
                <w:szCs w:val="24"/>
                <w:vertAlign w:val="superscript"/>
                <w:lang w:eastAsia="fr-FR"/>
              </w:rPr>
              <w:t>**</w:t>
            </w:r>
            <w:r w:rsidRPr="00BA3B83">
              <w:rPr>
                <w:rFonts w:ascii="Times New Roman" w:eastAsia="Times New Roman" w:hAnsi="Times New Roman" w:cs="Times New Roman"/>
                <w:color w:val="000000"/>
                <w:sz w:val="24"/>
                <w:szCs w:val="24"/>
                <w:lang w:eastAsia="fr-FR"/>
              </w:rPr>
              <w:t xml:space="preserve"> sera poursuivi selon la surveillance vétérinaire de l'animal </w:t>
            </w:r>
          </w:p>
        </w:tc>
      </w:tr>
      <w:tr w:rsidR="00BD30F4" w:rsidRPr="00BA3B8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Circonstances suspectes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Le mettre sous surveillance vétérinaire</w:t>
            </w:r>
            <w:r w:rsidRPr="00BA3B83">
              <w:rPr>
                <w:rFonts w:ascii="Times New Roman" w:eastAsia="Times New Roman" w:hAnsi="Times New Roman" w:cs="Times New Roman"/>
                <w:color w:val="000000"/>
                <w:sz w:val="24"/>
                <w:szCs w:val="24"/>
                <w:vertAlign w:val="superscript"/>
                <w:lang w:eastAsia="fr-FR"/>
              </w:rPr>
              <w:t>*</w:t>
            </w:r>
            <w:r w:rsidRPr="00BA3B8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Le conduire au centre antirabique pour traitement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Le traitement</w:t>
            </w:r>
            <w:r w:rsidRPr="00BA3B83">
              <w:rPr>
                <w:rFonts w:ascii="Times New Roman" w:eastAsia="Times New Roman" w:hAnsi="Times New Roman" w:cs="Times New Roman"/>
                <w:color w:val="000000"/>
                <w:sz w:val="24"/>
                <w:szCs w:val="24"/>
                <w:vertAlign w:val="superscript"/>
                <w:lang w:eastAsia="fr-FR"/>
              </w:rPr>
              <w:t>**</w:t>
            </w:r>
            <w:r w:rsidRPr="00BA3B83">
              <w:rPr>
                <w:rFonts w:ascii="Times New Roman" w:eastAsia="Times New Roman" w:hAnsi="Times New Roman" w:cs="Times New Roman"/>
                <w:color w:val="000000"/>
                <w:sz w:val="24"/>
                <w:szCs w:val="24"/>
                <w:lang w:eastAsia="fr-FR"/>
              </w:rPr>
              <w:t xml:space="preserve"> sera interrompu si la surveillance vétérinaire infirme les doutes initiaux ou poursuivi dans le cas contraire </w:t>
            </w:r>
          </w:p>
        </w:tc>
      </w:tr>
    </w:tbl>
    <w:p w:rsidR="00BD30F4" w:rsidRPr="00BA3B83" w:rsidRDefault="00BD30F4" w:rsidP="00BD30F4">
      <w:pPr>
        <w:spacing w:after="0" w:line="240" w:lineRule="auto"/>
        <w:ind w:left="720"/>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vertAlign w:val="superscript"/>
          <w:lang w:eastAsia="fr-FR"/>
        </w:rPr>
        <w:t>*</w:t>
      </w:r>
      <w:r w:rsidRPr="00BA3B83">
        <w:rPr>
          <w:rFonts w:ascii="Times New Roman" w:eastAsia="Times New Roman" w:hAnsi="Times New Roman" w:cs="Times New Roman"/>
          <w:color w:val="000000"/>
          <w:sz w:val="24"/>
          <w:szCs w:val="24"/>
          <w:lang w:eastAsia="fr-FR"/>
        </w:rPr>
        <w:t xml:space="preserve">  </w:t>
      </w:r>
      <w:r w:rsidRPr="00BA3B83">
        <w:rPr>
          <w:rFonts w:ascii="Times New Roman" w:eastAsia="Times New Roman" w:hAnsi="Times New Roman" w:cs="Times New Roman"/>
          <w:color w:val="000000"/>
          <w:sz w:val="20"/>
          <w:szCs w:val="20"/>
          <w:lang w:eastAsia="fr-FR"/>
        </w:rPr>
        <w:t>En France, la surveillance vétérinaire comporte 3 certificats établis à J0, J7 et J14 déclarant l'absence de signe de rage. Selon les recommandations de l'OMS, la durée d'observation minimale de la surveillance vétérinaire pour les chiens et les chats est de 10 jours.</w:t>
      </w:r>
    </w:p>
    <w:p w:rsidR="00BD30F4" w:rsidRPr="00BA3B83" w:rsidRDefault="00BD30F4" w:rsidP="00BD30F4">
      <w:pPr>
        <w:spacing w:after="0" w:line="240" w:lineRule="auto"/>
        <w:ind w:left="720"/>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vertAlign w:val="superscript"/>
          <w:lang w:eastAsia="fr-FR"/>
        </w:rPr>
        <w:t>**</w:t>
      </w:r>
      <w:r w:rsidRPr="00BA3B83">
        <w:rPr>
          <w:rFonts w:ascii="Times New Roman" w:eastAsia="Times New Roman" w:hAnsi="Times New Roman" w:cs="Times New Roman"/>
          <w:color w:val="000000"/>
          <w:sz w:val="24"/>
          <w:szCs w:val="24"/>
          <w:lang w:eastAsia="fr-FR"/>
        </w:rPr>
        <w:t xml:space="preserve">  </w:t>
      </w:r>
      <w:r w:rsidRPr="00BA3B83">
        <w:rPr>
          <w:rFonts w:ascii="Times New Roman" w:eastAsia="Times New Roman" w:hAnsi="Times New Roman" w:cs="Times New Roman"/>
          <w:color w:val="000000"/>
          <w:sz w:val="20"/>
          <w:szCs w:val="20"/>
          <w:lang w:eastAsia="fr-FR"/>
        </w:rPr>
        <w:t xml:space="preserve">Le traitement est recommandé en fonction de la gravité de la blessure : </w:t>
      </w:r>
      <w:proofErr w:type="spellStart"/>
      <w:r w:rsidRPr="00BA3B83">
        <w:rPr>
          <w:rFonts w:ascii="Times New Roman" w:eastAsia="Times New Roman" w:hAnsi="Times New Roman" w:cs="Times New Roman"/>
          <w:color w:val="000000"/>
          <w:sz w:val="20"/>
          <w:szCs w:val="20"/>
          <w:lang w:eastAsia="fr-FR"/>
        </w:rPr>
        <w:t>cf</w:t>
      </w:r>
      <w:proofErr w:type="spellEnd"/>
      <w:r w:rsidRPr="00BA3B83">
        <w:rPr>
          <w:rFonts w:ascii="Times New Roman" w:eastAsia="Times New Roman" w:hAnsi="Times New Roman" w:cs="Times New Roman"/>
          <w:color w:val="000000"/>
          <w:sz w:val="20"/>
          <w:szCs w:val="20"/>
          <w:lang w:eastAsia="fr-FR"/>
        </w:rPr>
        <w:t> tableau 2.</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1"/>
        <w:gridCol w:w="4778"/>
        <w:gridCol w:w="3093"/>
      </w:tblGrid>
      <w:tr w:rsidR="00BD30F4" w:rsidRPr="00BA3B83" w:rsidTr="00823B76">
        <w:trPr>
          <w:tblCellSpacing w:w="7" w:type="dxa"/>
        </w:trPr>
        <w:tc>
          <w:tcPr>
            <w:tcW w:w="0" w:type="auto"/>
            <w:gridSpan w:val="3"/>
            <w:tcBorders>
              <w:top w:val="nil"/>
              <w:left w:val="nil"/>
              <w:bottom w:val="nil"/>
              <w:right w:val="nil"/>
            </w:tcBorders>
            <w:vAlign w:val="center"/>
            <w:hideMark/>
          </w:tcPr>
          <w:p w:rsidR="00BD30F4" w:rsidRPr="00BA3B83" w:rsidRDefault="00BD30F4" w:rsidP="00823B76">
            <w:pPr>
              <w:spacing w:after="0" w:line="240" w:lineRule="auto"/>
              <w:jc w:val="center"/>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Tableau 2 : </w:t>
            </w:r>
          </w:p>
        </w:tc>
      </w:tr>
      <w:tr w:rsidR="00BD30F4" w:rsidRPr="00BA3B83" w:rsidTr="00823B76">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jc w:val="center"/>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Guide OMS du traitement après exposition en fonction de la gravité de la blessure </w:t>
            </w:r>
          </w:p>
        </w:tc>
      </w:tr>
      <w:tr w:rsidR="00BD30F4" w:rsidRPr="00BA3B8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jc w:val="center"/>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Gravité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Nature du contact avec un animal sauvage</w:t>
            </w:r>
            <w:r w:rsidRPr="00BA3B83">
              <w:rPr>
                <w:rFonts w:ascii="Times New Roman" w:eastAsia="Times New Roman" w:hAnsi="Times New Roman" w:cs="Times New Roman"/>
                <w:color w:val="000000"/>
                <w:sz w:val="24"/>
                <w:szCs w:val="24"/>
                <w:vertAlign w:val="superscript"/>
                <w:lang w:eastAsia="fr-FR"/>
              </w:rPr>
              <w:t>*</w:t>
            </w:r>
            <w:r w:rsidRPr="00BA3B83">
              <w:rPr>
                <w:rFonts w:ascii="Times New Roman" w:eastAsia="Times New Roman" w:hAnsi="Times New Roman" w:cs="Times New Roman"/>
                <w:color w:val="000000"/>
                <w:sz w:val="24"/>
                <w:szCs w:val="24"/>
                <w:lang w:eastAsia="fr-FR"/>
              </w:rPr>
              <w:t xml:space="preserve"> ou domestique présumé </w:t>
            </w:r>
            <w:proofErr w:type="gramStart"/>
            <w:r w:rsidRPr="00BA3B83">
              <w:rPr>
                <w:rFonts w:ascii="Times New Roman" w:eastAsia="Times New Roman" w:hAnsi="Times New Roman" w:cs="Times New Roman"/>
                <w:color w:val="000000"/>
                <w:sz w:val="24"/>
                <w:szCs w:val="24"/>
                <w:lang w:eastAsia="fr-FR"/>
              </w:rPr>
              <w:t>enragé</w:t>
            </w:r>
            <w:proofErr w:type="gramEnd"/>
            <w:r w:rsidRPr="00BA3B83">
              <w:rPr>
                <w:rFonts w:ascii="Times New Roman" w:eastAsia="Times New Roman" w:hAnsi="Times New Roman" w:cs="Times New Roman"/>
                <w:color w:val="000000"/>
                <w:sz w:val="24"/>
                <w:szCs w:val="24"/>
                <w:lang w:eastAsia="fr-FR"/>
              </w:rPr>
              <w:t xml:space="preserve">, ou dont la rage a été confirmée, ou encore un animal qui ne peut pas être placé en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Traitement recommandé </w:t>
            </w:r>
          </w:p>
        </w:tc>
      </w:tr>
      <w:tr w:rsidR="00BD30F4" w:rsidRPr="00BA3B8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jc w:val="center"/>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Contact ou alimentation de l'animal</w:t>
            </w:r>
            <w:r w:rsidRPr="00BA3B83">
              <w:rPr>
                <w:rFonts w:ascii="Times New Roman" w:eastAsia="Times New Roman" w:hAnsi="Times New Roman" w:cs="Times New Roman"/>
                <w:color w:val="000000"/>
                <w:sz w:val="24"/>
                <w:szCs w:val="24"/>
                <w:lang w:eastAsia="fr-FR"/>
              </w:rPr>
              <w:br/>
              <w:t xml:space="preserve">Léchage sur peau intacte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Aucun, si une anamnèse fiable peut être obtenue </w:t>
            </w:r>
          </w:p>
        </w:tc>
      </w:tr>
      <w:tr w:rsidR="00BD30F4" w:rsidRPr="00BA3B8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jc w:val="center"/>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Peau découverte mordillée</w:t>
            </w:r>
            <w:r w:rsidRPr="00BA3B83">
              <w:rPr>
                <w:rFonts w:ascii="Times New Roman" w:eastAsia="Times New Roman" w:hAnsi="Times New Roman" w:cs="Times New Roman"/>
                <w:color w:val="000000"/>
                <w:sz w:val="24"/>
                <w:szCs w:val="24"/>
                <w:lang w:eastAsia="fr-FR"/>
              </w:rPr>
              <w:br/>
              <w:t>Griffures bénignes ou excoriations sans saignement</w:t>
            </w:r>
            <w:r w:rsidRPr="00BA3B83">
              <w:rPr>
                <w:rFonts w:ascii="Times New Roman" w:eastAsia="Times New Roman" w:hAnsi="Times New Roman" w:cs="Times New Roman"/>
                <w:color w:val="000000"/>
                <w:sz w:val="24"/>
                <w:szCs w:val="24"/>
                <w:lang w:eastAsia="fr-FR"/>
              </w:rPr>
              <w:br/>
              <w:t xml:space="preserve">Léchage sur peau érodée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Administrer le vaccin immédiatement</w:t>
            </w:r>
            <w:r w:rsidRPr="00BA3B83">
              <w:rPr>
                <w:rFonts w:ascii="Times New Roman" w:eastAsia="Times New Roman" w:hAnsi="Times New Roman" w:cs="Times New Roman"/>
                <w:color w:val="000000"/>
                <w:sz w:val="24"/>
                <w:szCs w:val="24"/>
                <w:vertAlign w:val="superscript"/>
                <w:lang w:eastAsia="fr-FR"/>
              </w:rPr>
              <w:t>**</w:t>
            </w:r>
            <w:r w:rsidRPr="00BA3B83">
              <w:rPr>
                <w:rFonts w:ascii="Times New Roman" w:eastAsia="Times New Roman" w:hAnsi="Times New Roman" w:cs="Times New Roman"/>
                <w:color w:val="000000"/>
                <w:sz w:val="24"/>
                <w:szCs w:val="24"/>
                <w:lang w:eastAsia="fr-FR"/>
              </w:rPr>
              <w:t xml:space="preserve"> </w:t>
            </w:r>
          </w:p>
        </w:tc>
      </w:tr>
      <w:tr w:rsidR="00BD30F4" w:rsidRPr="00BA3B8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jc w:val="center"/>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 xml:space="preserve">III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Morsure(s) ou griffure(s) ayant traversé la peau</w:t>
            </w:r>
            <w:r w:rsidRPr="00BA3B83">
              <w:rPr>
                <w:rFonts w:ascii="Times New Roman" w:eastAsia="Times New Roman" w:hAnsi="Times New Roman" w:cs="Times New Roman"/>
                <w:color w:val="000000"/>
                <w:sz w:val="24"/>
                <w:szCs w:val="24"/>
                <w:lang w:eastAsia="fr-FR"/>
              </w:rPr>
              <w:br/>
              <w:t xml:space="preserve">Contamination des muqueuses par la salive (léchage)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30F4" w:rsidRPr="00BA3B83" w:rsidRDefault="00BD30F4" w:rsidP="00823B76">
            <w:pPr>
              <w:spacing w:after="0" w:line="240" w:lineRule="auto"/>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lang w:eastAsia="fr-FR"/>
              </w:rPr>
              <w:t>Administrer immédiatement des immunoglobulines et le vaccin antirabique</w:t>
            </w:r>
            <w:r w:rsidRPr="00BA3B83">
              <w:rPr>
                <w:rFonts w:ascii="Times New Roman" w:eastAsia="Times New Roman" w:hAnsi="Times New Roman" w:cs="Times New Roman"/>
                <w:color w:val="000000"/>
                <w:sz w:val="24"/>
                <w:szCs w:val="24"/>
                <w:vertAlign w:val="superscript"/>
                <w:lang w:eastAsia="fr-FR"/>
              </w:rPr>
              <w:t>**</w:t>
            </w:r>
            <w:r w:rsidRPr="00BA3B83">
              <w:rPr>
                <w:rFonts w:ascii="Times New Roman" w:eastAsia="Times New Roman" w:hAnsi="Times New Roman" w:cs="Times New Roman"/>
                <w:color w:val="000000"/>
                <w:sz w:val="24"/>
                <w:szCs w:val="24"/>
                <w:lang w:eastAsia="fr-FR"/>
              </w:rPr>
              <w:t xml:space="preserve"> </w:t>
            </w:r>
          </w:p>
        </w:tc>
      </w:tr>
    </w:tbl>
    <w:p w:rsidR="00BD30F4" w:rsidRPr="00BA3B83" w:rsidRDefault="00BD30F4" w:rsidP="00BD30F4">
      <w:pPr>
        <w:spacing w:after="0" w:line="240" w:lineRule="auto"/>
        <w:ind w:left="720"/>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vertAlign w:val="superscript"/>
          <w:lang w:eastAsia="fr-FR"/>
        </w:rPr>
        <w:t>*</w:t>
      </w:r>
      <w:r w:rsidRPr="00BA3B83">
        <w:rPr>
          <w:rFonts w:ascii="Times New Roman" w:eastAsia="Times New Roman" w:hAnsi="Times New Roman" w:cs="Times New Roman"/>
          <w:color w:val="000000"/>
          <w:sz w:val="24"/>
          <w:szCs w:val="24"/>
          <w:lang w:eastAsia="fr-FR"/>
        </w:rPr>
        <w:t xml:space="preserve">  </w:t>
      </w:r>
      <w:r w:rsidRPr="00BA3B83">
        <w:rPr>
          <w:rFonts w:ascii="Times New Roman" w:eastAsia="Times New Roman" w:hAnsi="Times New Roman" w:cs="Times New Roman"/>
          <w:color w:val="000000"/>
          <w:sz w:val="20"/>
          <w:szCs w:val="20"/>
          <w:lang w:eastAsia="fr-FR"/>
        </w:rPr>
        <w:t>Un contact avec des rongeurs, des lapins ou des lièvres n'exige pour ainsi dire jamais de traitement antirabique spécifique.</w:t>
      </w:r>
    </w:p>
    <w:p w:rsidR="00BD30F4" w:rsidRPr="00BA3B83" w:rsidRDefault="00BD30F4" w:rsidP="00BD30F4">
      <w:pPr>
        <w:spacing w:after="0" w:line="240" w:lineRule="auto"/>
        <w:ind w:left="720"/>
        <w:rPr>
          <w:rFonts w:ascii="Times New Roman" w:eastAsia="Times New Roman" w:hAnsi="Times New Roman" w:cs="Times New Roman"/>
          <w:color w:val="000000"/>
          <w:sz w:val="24"/>
          <w:szCs w:val="24"/>
          <w:lang w:eastAsia="fr-FR"/>
        </w:rPr>
      </w:pPr>
      <w:r w:rsidRPr="00BA3B83">
        <w:rPr>
          <w:rFonts w:ascii="Times New Roman" w:eastAsia="Times New Roman" w:hAnsi="Times New Roman" w:cs="Times New Roman"/>
          <w:color w:val="000000"/>
          <w:sz w:val="24"/>
          <w:szCs w:val="24"/>
          <w:vertAlign w:val="superscript"/>
          <w:lang w:eastAsia="fr-FR"/>
        </w:rPr>
        <w:t>**</w:t>
      </w:r>
      <w:r w:rsidRPr="00BA3B83">
        <w:rPr>
          <w:rFonts w:ascii="Times New Roman" w:eastAsia="Times New Roman" w:hAnsi="Times New Roman" w:cs="Times New Roman"/>
          <w:color w:val="000000"/>
          <w:sz w:val="24"/>
          <w:szCs w:val="24"/>
          <w:lang w:eastAsia="fr-FR"/>
        </w:rPr>
        <w:t xml:space="preserve">  </w:t>
      </w:r>
      <w:r w:rsidRPr="00BA3B83">
        <w:rPr>
          <w:rFonts w:ascii="Times New Roman" w:eastAsia="Times New Roman" w:hAnsi="Times New Roman" w:cs="Times New Roman"/>
          <w:color w:val="000000"/>
          <w:sz w:val="20"/>
          <w:szCs w:val="20"/>
          <w:lang w:eastAsia="fr-FR"/>
        </w:rPr>
        <w:t>Arrêter le traitement si l'animal est en bonne santé après 10 jours d'observation (pour les chats et les chiens) ou si, après l'euthanasie, la recherche de la rage par les techniques de laboratoire appropriées est négative.</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A5450"/>
    <w:multiLevelType w:val="multilevel"/>
    <w:tmpl w:val="B750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D30F4"/>
    <w:rsid w:val="00017B31"/>
    <w:rsid w:val="0006330F"/>
    <w:rsid w:val="0009769E"/>
    <w:rsid w:val="000C4178"/>
    <w:rsid w:val="000F3D58"/>
    <w:rsid w:val="00120A2B"/>
    <w:rsid w:val="001931B1"/>
    <w:rsid w:val="001A53D5"/>
    <w:rsid w:val="001B3E26"/>
    <w:rsid w:val="00282113"/>
    <w:rsid w:val="003164DC"/>
    <w:rsid w:val="00370323"/>
    <w:rsid w:val="004276C2"/>
    <w:rsid w:val="004771A7"/>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BD30F4"/>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4380</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2013-02-27T15:43:00Z</dcterms:created>
  <dcterms:modified xsi:type="dcterms:W3CDTF">2013-02-27T15:44:00Z</dcterms:modified>
</cp:coreProperties>
</file>